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F6AED">
      <w:pPr>
        <w:spacing w:before="468" w:beforeLines="150" w:after="468" w:afterLines="150"/>
        <w:jc w:val="center"/>
        <w:rPr>
          <w:rFonts w:hint="eastAsia" w:ascii="宋体" w:hAnsi="宋体"/>
          <w:b/>
          <w:bCs/>
          <w:w w:val="90"/>
          <w:sz w:val="44"/>
          <w:szCs w:val="44"/>
        </w:rPr>
      </w:pPr>
      <w:r>
        <w:rPr>
          <w:rFonts w:hint="eastAsia" w:ascii="宋体" w:hAnsi="宋体"/>
          <w:b/>
          <w:bCs/>
          <w:w w:val="90"/>
          <w:sz w:val="44"/>
          <w:szCs w:val="44"/>
        </w:rPr>
        <w:t>济南鲍德冶金石灰石有限公司</w:t>
      </w:r>
    </w:p>
    <w:p w14:paraId="699A754C">
      <w:pPr>
        <w:spacing w:before="468" w:beforeLines="150" w:after="468" w:afterLines="150"/>
        <w:jc w:val="center"/>
        <w:rPr>
          <w:rFonts w:hint="eastAsia" w:ascii="宋体" w:hAnsi="宋体"/>
          <w:b/>
          <w:bCs/>
          <w:w w:val="90"/>
          <w:sz w:val="44"/>
          <w:szCs w:val="44"/>
        </w:rPr>
      </w:pPr>
      <w:r>
        <w:rPr>
          <w:rFonts w:hint="eastAsia" w:ascii="宋体" w:hAnsi="宋体"/>
          <w:b/>
          <w:bCs/>
          <w:w w:val="90"/>
          <w:sz w:val="44"/>
          <w:szCs w:val="44"/>
        </w:rPr>
        <w:t>钢板仓石粉库及相关设施EPC总承包工程</w:t>
      </w:r>
    </w:p>
    <w:p w14:paraId="3A3CDCB2">
      <w:pPr>
        <w:spacing w:before="468" w:beforeLines="150" w:after="468" w:afterLines="150"/>
        <w:jc w:val="center"/>
        <w:rPr>
          <w:rFonts w:ascii="宋体" w:hAnsi="宋体"/>
          <w:b/>
          <w:sz w:val="52"/>
          <w:szCs w:val="52"/>
        </w:rPr>
      </w:pPr>
      <w:r>
        <w:rPr>
          <w:rFonts w:hint="eastAsia" w:ascii="宋体" w:hAnsi="宋体"/>
          <w:b/>
          <w:bCs/>
          <w:w w:val="90"/>
          <w:sz w:val="44"/>
          <w:szCs w:val="44"/>
        </w:rPr>
        <w:t>招标文件</w:t>
      </w:r>
    </w:p>
    <w:p w14:paraId="21190D51">
      <w:pPr>
        <w:spacing w:before="468" w:beforeLines="150" w:after="468" w:afterLines="150"/>
        <w:ind w:firstLine="2204" w:firstLineChars="499"/>
        <w:rPr>
          <w:rFonts w:hint="eastAsia" w:ascii="宋体" w:hAnsi="宋体"/>
          <w:b/>
          <w:sz w:val="44"/>
          <w:szCs w:val="44"/>
        </w:rPr>
      </w:pPr>
      <w:r>
        <w:rPr>
          <w:rFonts w:hint="eastAsia" w:ascii="宋体" w:hAnsi="宋体"/>
          <w:b/>
          <w:sz w:val="44"/>
          <w:szCs w:val="44"/>
        </w:rPr>
        <w:t xml:space="preserve"> </w:t>
      </w:r>
    </w:p>
    <w:p w14:paraId="46602AD0">
      <w:pPr>
        <w:ind w:firstLine="3456" w:firstLineChars="1646"/>
        <w:rPr>
          <w:rFonts w:ascii="宋体" w:hAnsi="宋体" w:cs="Arial"/>
        </w:rPr>
      </w:pPr>
      <w:r>
        <w:rPr>
          <w:rFonts w:hint="eastAsia" w:ascii="宋体" w:hAnsi="宋体" w:cs="Arial"/>
        </w:rPr>
        <w:t>　　　</w:t>
      </w:r>
    </w:p>
    <w:p w14:paraId="280A844A">
      <w:pPr>
        <w:ind w:firstLine="3456" w:firstLineChars="1646"/>
        <w:rPr>
          <w:rFonts w:ascii="宋体" w:hAnsi="宋体" w:cs="Arial"/>
        </w:rPr>
      </w:pPr>
    </w:p>
    <w:p w14:paraId="0F4A4B2D">
      <w:pPr>
        <w:ind w:firstLine="3456" w:firstLineChars="1646"/>
        <w:rPr>
          <w:rFonts w:ascii="宋体" w:hAnsi="宋体"/>
          <w:b/>
          <w:sz w:val="28"/>
          <w:szCs w:val="28"/>
        </w:rPr>
      </w:pPr>
      <w:r>
        <w:rPr>
          <w:rFonts w:hint="eastAsia" w:ascii="宋体" w:hAnsi="宋体" w:cs="Arial"/>
        </w:rPr>
        <w:t>　</w:t>
      </w:r>
    </w:p>
    <w:p w14:paraId="7B37852C">
      <w:pPr>
        <w:tabs>
          <w:tab w:val="left" w:pos="1134"/>
          <w:tab w:val="left" w:pos="5481"/>
          <w:tab w:val="left" w:pos="5859"/>
        </w:tabs>
        <w:rPr>
          <w:rFonts w:ascii="宋体" w:hAnsi="宋体"/>
          <w:b/>
          <w:sz w:val="28"/>
          <w:szCs w:val="28"/>
        </w:rPr>
      </w:pPr>
    </w:p>
    <w:p w14:paraId="4967249A">
      <w:pPr>
        <w:spacing w:line="360" w:lineRule="auto"/>
        <w:jc w:val="center"/>
        <w:rPr>
          <w:rFonts w:hint="eastAsia" w:ascii="宋体" w:hAnsi="宋体"/>
          <w:b/>
          <w:sz w:val="32"/>
          <w:szCs w:val="32"/>
        </w:rPr>
      </w:pPr>
      <w:r>
        <w:rPr>
          <w:rFonts w:hint="eastAsia" w:ascii="宋体" w:hAnsi="宋体"/>
          <w:b/>
          <w:sz w:val="32"/>
          <w:szCs w:val="32"/>
        </w:rPr>
        <w:t>招   标  人：济南鲍德冶金石灰石有限公司</w:t>
      </w:r>
    </w:p>
    <w:p w14:paraId="0BE8F62E">
      <w:pPr>
        <w:spacing w:line="360" w:lineRule="auto"/>
        <w:jc w:val="center"/>
        <w:rPr>
          <w:rFonts w:ascii="宋体" w:hAnsi="宋体"/>
        </w:rPr>
        <w:sectPr>
          <w:footerReference r:id="rId3" w:type="default"/>
          <w:pgSz w:w="11906" w:h="16838"/>
          <w:pgMar w:top="1418" w:right="1758" w:bottom="1418" w:left="1758" w:header="851" w:footer="992" w:gutter="0"/>
          <w:cols w:space="720" w:num="1"/>
          <w:docGrid w:type="lines" w:linePitch="312" w:charSpace="0"/>
        </w:sectPr>
      </w:pPr>
      <w:r>
        <w:rPr>
          <w:rFonts w:hint="eastAsia" w:ascii="宋体" w:hAnsi="宋体"/>
          <w:b/>
          <w:sz w:val="32"/>
          <w:szCs w:val="32"/>
        </w:rPr>
        <w:t>2026年</w:t>
      </w:r>
    </w:p>
    <w:p w14:paraId="5AB4B370">
      <w:pPr>
        <w:pStyle w:val="9"/>
      </w:pPr>
      <w:bookmarkStart w:id="0" w:name="_Toc140755216"/>
      <w:bookmarkStart w:id="1" w:name="_Toc446434284"/>
      <w:r>
        <w:rPr>
          <w:rFonts w:hint="eastAsia"/>
        </w:rPr>
        <w:t>第一章</w:t>
      </w:r>
      <w:r>
        <w:t xml:space="preserve"> </w:t>
      </w:r>
      <w:r>
        <w:rPr>
          <w:rFonts w:hint="eastAsia"/>
        </w:rPr>
        <w:t>招标公告</w:t>
      </w:r>
      <w:bookmarkEnd w:id="0"/>
      <w:bookmarkEnd w:id="1"/>
    </w:p>
    <w:p w14:paraId="1EFB0C17">
      <w:pPr>
        <w:spacing w:line="396" w:lineRule="auto"/>
        <w:rPr>
          <w:rFonts w:hint="default" w:ascii="宋体" w:hAnsi="宋体" w:eastAsia="宋体"/>
          <w:sz w:val="24"/>
          <w:lang w:val="en-US" w:eastAsia="zh-CN"/>
        </w:rPr>
      </w:pPr>
      <w:r>
        <w:rPr>
          <w:rFonts w:hint="eastAsia" w:ascii="宋体" w:hAnsi="宋体"/>
          <w:sz w:val="24"/>
        </w:rPr>
        <w:t xml:space="preserve">一、招标编号： </w:t>
      </w:r>
      <w:r>
        <w:rPr>
          <w:rFonts w:hint="eastAsia" w:ascii="宋体" w:hAnsi="宋体"/>
          <w:sz w:val="24"/>
          <w:lang w:val="en-US" w:eastAsia="zh-CN"/>
        </w:rPr>
        <w:t>1251260914001</w:t>
      </w:r>
    </w:p>
    <w:p w14:paraId="08B16E6A">
      <w:pPr>
        <w:spacing w:line="396" w:lineRule="auto"/>
        <w:ind w:left="1560" w:hanging="1560" w:hangingChars="650"/>
        <w:jc w:val="left"/>
        <w:rPr>
          <w:rFonts w:hint="eastAsia" w:ascii="宋体" w:hAnsi="宋体"/>
          <w:bCs/>
          <w:w w:val="90"/>
          <w:sz w:val="24"/>
        </w:rPr>
      </w:pPr>
      <w:r>
        <w:rPr>
          <w:rFonts w:hint="eastAsia" w:ascii="宋体" w:hAnsi="宋体"/>
          <w:sz w:val="24"/>
        </w:rPr>
        <w:t>二、项目名称：钢板仓石粉库及相关设施EPC总承包工程</w:t>
      </w:r>
    </w:p>
    <w:p w14:paraId="6FBEF675">
      <w:pPr>
        <w:spacing w:line="396" w:lineRule="auto"/>
        <w:jc w:val="left"/>
        <w:rPr>
          <w:rFonts w:hint="eastAsia" w:ascii="宋体" w:hAnsi="宋体"/>
          <w:sz w:val="24"/>
        </w:rPr>
      </w:pPr>
      <w:r>
        <w:rPr>
          <w:rFonts w:hint="eastAsia" w:ascii="宋体" w:hAnsi="宋体"/>
          <w:sz w:val="24"/>
        </w:rPr>
        <w:t>三、招标内容：</w:t>
      </w:r>
    </w:p>
    <w:p w14:paraId="50FB1FDC">
      <w:pPr>
        <w:spacing w:line="396" w:lineRule="auto"/>
        <w:ind w:firstLine="480" w:firstLineChars="200"/>
        <w:jc w:val="left"/>
        <w:rPr>
          <w:rFonts w:ascii="宋体" w:hAnsi="宋体"/>
          <w:sz w:val="24"/>
        </w:rPr>
      </w:pPr>
      <w:r>
        <w:rPr>
          <w:rFonts w:hint="eastAsia" w:ascii="宋体" w:hAnsi="宋体"/>
          <w:sz w:val="24"/>
        </w:rPr>
        <w:t>建设三座储料600吨石粉钢板仓石粉库，EPC总承包范围为一个完整的储料、卸料系统，包括机械、电气、仪表控制、土建、建筑及室内外给排水系统（如有）的设计、施工、安装、调试试验及检查，完成竣工验收及所涉及到的（环保、消防、质检、安全竣工验收、职业健康三同时等）等一揽子工作，同时也包括所有材料、备品备件、专用工具、消耗品以及相关技术资料等。</w:t>
      </w:r>
    </w:p>
    <w:p w14:paraId="064F10D5">
      <w:pPr>
        <w:spacing w:line="396" w:lineRule="auto"/>
        <w:jc w:val="left"/>
        <w:rPr>
          <w:rFonts w:ascii="宋体" w:hAnsi="宋体"/>
          <w:sz w:val="24"/>
        </w:rPr>
      </w:pPr>
      <w:r>
        <w:rPr>
          <w:rFonts w:hint="eastAsia" w:ascii="宋体" w:hAnsi="宋体"/>
          <w:sz w:val="24"/>
        </w:rPr>
        <w:t>四、投标人资格要求</w:t>
      </w:r>
    </w:p>
    <w:p w14:paraId="1CC53EA8">
      <w:pPr>
        <w:spacing w:line="396" w:lineRule="auto"/>
        <w:ind w:firstLine="480" w:firstLineChars="200"/>
        <w:jc w:val="left"/>
        <w:rPr>
          <w:rFonts w:hint="eastAsia" w:ascii="宋体" w:hAnsi="宋体"/>
          <w:sz w:val="24"/>
        </w:rPr>
      </w:pPr>
      <w:r>
        <w:rPr>
          <w:rFonts w:hint="eastAsia" w:ascii="宋体" w:hAnsi="宋体"/>
          <w:sz w:val="24"/>
        </w:rPr>
        <w:t>1.投标人为依法登记注册的独立法人，具有独立承担民事责任的能力。注册资金不低于300万元。</w:t>
      </w:r>
    </w:p>
    <w:p w14:paraId="0FF9C5EF">
      <w:pPr>
        <w:spacing w:line="396" w:lineRule="auto"/>
        <w:ind w:firstLine="480" w:firstLineChars="200"/>
        <w:jc w:val="left"/>
        <w:rPr>
          <w:rFonts w:hint="eastAsia" w:ascii="宋体" w:hAnsi="宋体"/>
          <w:sz w:val="24"/>
        </w:rPr>
      </w:pPr>
      <w:r>
        <w:rPr>
          <w:rFonts w:hint="eastAsia" w:ascii="宋体" w:hAnsi="宋体"/>
          <w:sz w:val="24"/>
        </w:rPr>
        <w:t>2.满足下列条件之一的单位，均可就本项目 EPC 总承包工程提交投标文件：</w:t>
      </w:r>
    </w:p>
    <w:p w14:paraId="0ECEB355">
      <w:pPr>
        <w:spacing w:line="396" w:lineRule="auto"/>
        <w:ind w:firstLine="480" w:firstLineChars="200"/>
        <w:jc w:val="left"/>
        <w:rPr>
          <w:rFonts w:hint="eastAsia" w:ascii="宋体" w:hAnsi="宋体"/>
          <w:sz w:val="24"/>
        </w:rPr>
      </w:pPr>
      <w:r>
        <w:rPr>
          <w:rFonts w:hint="eastAsia" w:ascii="宋体" w:hAnsi="宋体"/>
          <w:sz w:val="24"/>
        </w:rPr>
        <w:t>（A）针对工程总承包商应具有：建筑工程施工总承包三级及以上资质或机电施工总承包三级及以上资质，且近三年至少有三个储量800吨及以上钢板仓建设总承包业绩；</w:t>
      </w:r>
    </w:p>
    <w:p w14:paraId="43B48882">
      <w:pPr>
        <w:spacing w:line="396" w:lineRule="auto"/>
        <w:ind w:firstLine="480" w:firstLineChars="200"/>
        <w:jc w:val="left"/>
        <w:rPr>
          <w:rFonts w:ascii="宋体" w:hAnsi="宋体"/>
          <w:sz w:val="24"/>
        </w:rPr>
      </w:pPr>
      <w:r>
        <w:rPr>
          <w:rFonts w:hint="eastAsia" w:ascii="宋体" w:hAnsi="宋体"/>
          <w:sz w:val="24"/>
        </w:rPr>
        <w:t>（B）针对牵头人为设计单位应具有：冶金行业工程设计甲级，或建筑行业建筑工程甲级,或建材行业工程设计甲级,必须具有在近三年成功从事过至少三个及以上储量800吨及以上钢板仓建设总承包业绩；</w:t>
      </w:r>
    </w:p>
    <w:p w14:paraId="220A1DE2">
      <w:pPr>
        <w:spacing w:line="396" w:lineRule="auto"/>
        <w:ind w:firstLine="480" w:firstLineChars="200"/>
        <w:jc w:val="left"/>
        <w:rPr>
          <w:rFonts w:hint="eastAsia" w:ascii="宋体" w:hAnsi="宋体"/>
          <w:sz w:val="24"/>
        </w:rPr>
      </w:pPr>
      <w:r>
        <w:rPr>
          <w:rFonts w:hint="eastAsia" w:ascii="宋体" w:hAnsi="宋体"/>
          <w:sz w:val="24"/>
        </w:rPr>
        <w:t>（C）针对牵头人为施工单位应具有：建筑工程施工总承包二级及以上资质和钢结构工程专业承包二级及以上资质，且近三年至少有三个储量800吨及以上钢板仓建设业绩，并提供联合设计单位的资质证书，且应满足上述设计资质等级要求；</w:t>
      </w:r>
    </w:p>
    <w:p w14:paraId="0FA97505">
      <w:pPr>
        <w:spacing w:line="396" w:lineRule="auto"/>
        <w:ind w:firstLine="480" w:firstLineChars="200"/>
        <w:jc w:val="left"/>
        <w:rPr>
          <w:rFonts w:hint="eastAsia" w:ascii="宋体" w:hAnsi="宋体"/>
          <w:sz w:val="24"/>
        </w:rPr>
      </w:pPr>
      <w:r>
        <w:rPr>
          <w:rFonts w:hint="eastAsia" w:ascii="宋体" w:hAnsi="宋体"/>
          <w:sz w:val="24"/>
        </w:rPr>
        <w:t>本次招标接受联合体投标，在满足上述要求的前提下，还需满足以下条件：</w:t>
      </w:r>
    </w:p>
    <w:p w14:paraId="3C77911E">
      <w:pPr>
        <w:spacing w:line="396" w:lineRule="auto"/>
        <w:ind w:firstLine="480" w:firstLineChars="200"/>
        <w:jc w:val="left"/>
        <w:rPr>
          <w:rFonts w:hint="eastAsia" w:ascii="宋体" w:hAnsi="宋体"/>
          <w:sz w:val="24"/>
        </w:rPr>
      </w:pPr>
      <w:r>
        <w:rPr>
          <w:rFonts w:hint="eastAsia" w:ascii="宋体" w:hAnsi="宋体"/>
          <w:sz w:val="24"/>
        </w:rPr>
        <w:t>（1）联合体应明确联合体牵头人和各方权利义务；</w:t>
      </w:r>
    </w:p>
    <w:p w14:paraId="61E99677">
      <w:pPr>
        <w:spacing w:line="396" w:lineRule="auto"/>
        <w:ind w:firstLine="480" w:firstLineChars="200"/>
        <w:jc w:val="left"/>
        <w:rPr>
          <w:rFonts w:hint="eastAsia" w:ascii="宋体" w:hAnsi="宋体"/>
          <w:sz w:val="24"/>
        </w:rPr>
      </w:pPr>
      <w:r>
        <w:rPr>
          <w:rFonts w:hint="eastAsia" w:ascii="宋体" w:hAnsi="宋体"/>
          <w:sz w:val="24"/>
        </w:rPr>
        <w:t>（2）由同一专业的单位组成的联合体，按照资质等级较低的单位确定资质等级；</w:t>
      </w:r>
    </w:p>
    <w:p w14:paraId="5362C966">
      <w:pPr>
        <w:spacing w:line="396" w:lineRule="auto"/>
        <w:ind w:firstLine="480" w:firstLineChars="200"/>
        <w:jc w:val="left"/>
      </w:pPr>
      <w:r>
        <w:rPr>
          <w:rFonts w:hint="eastAsia" w:ascii="宋体" w:hAnsi="宋体"/>
          <w:sz w:val="24"/>
        </w:rPr>
        <w:t>（3）联合体各方不得再以自己名义单独或参加其他联合体同时投标；</w:t>
      </w:r>
    </w:p>
    <w:p w14:paraId="73F2EF2E">
      <w:pPr>
        <w:spacing w:line="396" w:lineRule="auto"/>
        <w:jc w:val="left"/>
        <w:rPr>
          <w:rFonts w:hint="eastAsia" w:ascii="宋体" w:hAnsi="宋体"/>
          <w:sz w:val="24"/>
        </w:rPr>
      </w:pPr>
      <w:r>
        <w:rPr>
          <w:rFonts w:hint="eastAsia" w:ascii="宋体" w:hAnsi="宋体"/>
          <w:sz w:val="24"/>
        </w:rPr>
        <w:t>3.</w:t>
      </w:r>
      <w:r>
        <w:rPr>
          <w:rFonts w:hint="eastAsia" w:ascii="宋体" w:hAnsi="宋体"/>
          <w:sz w:val="24"/>
        </w:rPr>
        <w:tab/>
      </w:r>
      <w:r>
        <w:rPr>
          <w:rFonts w:hint="eastAsia" w:ascii="宋体" w:hAnsi="宋体"/>
          <w:sz w:val="24"/>
        </w:rPr>
        <w:t>投标人近3年（</w:t>
      </w:r>
      <w:r>
        <w:rPr>
          <w:rFonts w:ascii="宋体" w:hAnsi="宋体"/>
          <w:sz w:val="24"/>
        </w:rPr>
        <w:t>202</w:t>
      </w:r>
      <w:r>
        <w:rPr>
          <w:rFonts w:hint="eastAsia" w:ascii="宋体" w:hAnsi="宋体"/>
          <w:sz w:val="24"/>
        </w:rPr>
        <w:t>4年01月01日-至今）类似项目业绩不少于3个。</w:t>
      </w:r>
    </w:p>
    <w:p w14:paraId="62D8B0D5">
      <w:pPr>
        <w:spacing w:line="396" w:lineRule="auto"/>
        <w:jc w:val="left"/>
        <w:rPr>
          <w:rFonts w:hint="eastAsia" w:ascii="宋体" w:hAnsi="宋体"/>
          <w:sz w:val="24"/>
        </w:rPr>
      </w:pPr>
      <w:r>
        <w:rPr>
          <w:rFonts w:hint="eastAsia" w:ascii="宋体" w:hAnsi="宋体"/>
          <w:sz w:val="24"/>
        </w:rPr>
        <w:t>4.</w:t>
      </w:r>
      <w:r>
        <w:rPr>
          <w:rFonts w:hint="eastAsia" w:ascii="宋体" w:hAnsi="宋体"/>
          <w:sz w:val="24"/>
        </w:rPr>
        <w:tab/>
      </w:r>
      <w:r>
        <w:rPr>
          <w:rFonts w:hint="eastAsia" w:ascii="宋体" w:hAnsi="宋体"/>
          <w:sz w:val="24"/>
        </w:rPr>
        <w:t>具有良好的企业信誉、健全的财务会计制度和履行本项目的财务能力。</w:t>
      </w:r>
    </w:p>
    <w:p w14:paraId="6A9FEC0D">
      <w:pPr>
        <w:spacing w:line="396" w:lineRule="auto"/>
        <w:jc w:val="left"/>
        <w:rPr>
          <w:rFonts w:hint="eastAsia" w:ascii="宋体" w:hAnsi="宋体"/>
          <w:sz w:val="24"/>
        </w:rPr>
      </w:pPr>
      <w:r>
        <w:rPr>
          <w:rFonts w:hint="eastAsia" w:ascii="宋体" w:hAnsi="宋体"/>
          <w:sz w:val="24"/>
        </w:rPr>
        <w:t>5.</w:t>
      </w:r>
      <w:r>
        <w:rPr>
          <w:rFonts w:hint="eastAsia" w:ascii="宋体" w:hAnsi="宋体"/>
          <w:sz w:val="24"/>
        </w:rPr>
        <w:tab/>
      </w:r>
      <w:r>
        <w:rPr>
          <w:rFonts w:hint="eastAsia" w:ascii="宋体" w:hAnsi="宋体"/>
          <w:sz w:val="24"/>
        </w:rPr>
        <w:t>具有履行合同必需的设备、专业技术、资质能力；</w:t>
      </w:r>
    </w:p>
    <w:p w14:paraId="121949DF">
      <w:pPr>
        <w:spacing w:line="396" w:lineRule="auto"/>
        <w:jc w:val="left"/>
        <w:rPr>
          <w:rFonts w:hint="eastAsia" w:ascii="宋体" w:hAnsi="宋体"/>
          <w:sz w:val="24"/>
        </w:rPr>
      </w:pPr>
      <w:r>
        <w:rPr>
          <w:rFonts w:hint="eastAsia" w:ascii="宋体" w:hAnsi="宋体"/>
          <w:sz w:val="24"/>
        </w:rPr>
        <w:t>6.</w:t>
      </w:r>
      <w:r>
        <w:rPr>
          <w:rFonts w:hint="eastAsia" w:ascii="宋体" w:hAnsi="宋体"/>
          <w:sz w:val="24"/>
        </w:rPr>
        <w:tab/>
      </w:r>
      <w:r>
        <w:rPr>
          <w:rFonts w:hint="eastAsia" w:ascii="宋体" w:hAnsi="宋体"/>
          <w:sz w:val="24"/>
        </w:rPr>
        <w:t>有依法缴纳税收和社会保障金的良好纪录；</w:t>
      </w:r>
    </w:p>
    <w:p w14:paraId="6C9FC5EB">
      <w:pPr>
        <w:spacing w:line="396" w:lineRule="auto"/>
        <w:jc w:val="left"/>
        <w:rPr>
          <w:rFonts w:hint="eastAsia" w:ascii="宋体" w:hAnsi="宋体"/>
          <w:sz w:val="24"/>
        </w:rPr>
      </w:pPr>
      <w:r>
        <w:rPr>
          <w:rFonts w:hint="eastAsia" w:ascii="宋体" w:hAnsi="宋体"/>
          <w:sz w:val="24"/>
        </w:rPr>
        <w:t>7.</w:t>
      </w:r>
      <w:r>
        <w:rPr>
          <w:rFonts w:hint="eastAsia" w:ascii="宋体" w:hAnsi="宋体"/>
          <w:sz w:val="24"/>
        </w:rPr>
        <w:tab/>
      </w:r>
      <w:r>
        <w:rPr>
          <w:rFonts w:hint="eastAsia" w:ascii="宋体" w:hAnsi="宋体"/>
          <w:sz w:val="24"/>
        </w:rPr>
        <w:t>投标人须遵守中华人民共和国有关法律、法规，无重大违法违约行为。“通过“信用中国”网站（www.creditchina.gov.cn）、中国政府招标网（www.ccgp.gov.cn）查询，未被列入失信被执行人、重大税收违法案件当事人、政府招标严重违法失信行为记录名单”，提供查询截屏。</w:t>
      </w:r>
    </w:p>
    <w:p w14:paraId="5A569E5A">
      <w:pPr>
        <w:spacing w:line="396" w:lineRule="auto"/>
        <w:jc w:val="left"/>
        <w:rPr>
          <w:rFonts w:ascii="宋体" w:hAnsi="宋体"/>
          <w:sz w:val="24"/>
        </w:rPr>
      </w:pPr>
      <w:r>
        <w:rPr>
          <w:rFonts w:hint="eastAsia" w:ascii="宋体" w:hAnsi="宋体"/>
          <w:sz w:val="24"/>
        </w:rPr>
        <w:t>8.</w:t>
      </w:r>
      <w:r>
        <w:rPr>
          <w:rFonts w:hint="eastAsia" w:ascii="宋体" w:hAnsi="宋体"/>
          <w:sz w:val="24"/>
        </w:rPr>
        <w:tab/>
      </w:r>
      <w:r>
        <w:rPr>
          <w:rFonts w:hint="eastAsia" w:ascii="宋体" w:hAnsi="宋体"/>
          <w:sz w:val="24"/>
        </w:rPr>
        <w:t>如有单位资料造假，一经发现，立即在网上公示，并永久取消投标资格。</w:t>
      </w:r>
    </w:p>
    <w:p w14:paraId="285F0D42">
      <w:pPr>
        <w:spacing w:line="396" w:lineRule="auto"/>
        <w:jc w:val="left"/>
        <w:rPr>
          <w:rFonts w:hint="eastAsia" w:ascii="宋体" w:hAnsi="宋体"/>
          <w:sz w:val="24"/>
        </w:rPr>
      </w:pPr>
      <w:r>
        <w:rPr>
          <w:rFonts w:hint="eastAsia" w:ascii="宋体" w:hAnsi="宋体"/>
          <w:sz w:val="24"/>
        </w:rPr>
        <w:t>五、公告及报名时间</w:t>
      </w:r>
    </w:p>
    <w:p w14:paraId="54ACEBE5">
      <w:pPr>
        <w:spacing w:line="396" w:lineRule="auto"/>
        <w:jc w:val="left"/>
        <w:rPr>
          <w:rFonts w:hint="eastAsia" w:ascii="宋体" w:hAnsi="宋体"/>
          <w:sz w:val="24"/>
        </w:rPr>
      </w:pPr>
      <w:r>
        <w:rPr>
          <w:rFonts w:hint="eastAsia" w:ascii="宋体" w:hAnsi="宋体"/>
          <w:sz w:val="24"/>
        </w:rPr>
        <w:t>1、报名方式：通过登录济钢集团阳光购销平台网上报名(不接受线下报名)，网上系统网址：bidding.jigang.com.cn。</w:t>
      </w:r>
    </w:p>
    <w:p w14:paraId="5A2C3AD7">
      <w:pPr>
        <w:spacing w:line="396" w:lineRule="auto"/>
        <w:jc w:val="left"/>
        <w:rPr>
          <w:rFonts w:hint="eastAsia" w:ascii="宋体" w:hAnsi="宋体"/>
          <w:b/>
          <w:bCs/>
          <w:sz w:val="24"/>
        </w:rPr>
      </w:pPr>
      <w:r>
        <w:rPr>
          <w:rFonts w:hint="eastAsia" w:ascii="宋体" w:hAnsi="宋体"/>
          <w:b/>
          <w:bCs/>
          <w:sz w:val="24"/>
        </w:rPr>
        <w:t xml:space="preserve">2.公告和报名时间： </w:t>
      </w:r>
      <w:r>
        <w:rPr>
          <w:rFonts w:hint="eastAsia" w:ascii="宋体" w:hAnsi="宋体"/>
          <w:b/>
          <w:bCs/>
          <w:sz w:val="24"/>
          <w:lang w:val="en-US" w:eastAsia="zh-CN"/>
        </w:rPr>
        <w:t>2026</w:t>
      </w:r>
      <w:r>
        <w:rPr>
          <w:rFonts w:hint="eastAsia" w:ascii="宋体" w:hAnsi="宋体"/>
          <w:b/>
          <w:bCs/>
          <w:sz w:val="24"/>
        </w:rPr>
        <w:t xml:space="preserve">年 </w:t>
      </w:r>
      <w:r>
        <w:rPr>
          <w:rFonts w:hint="eastAsia" w:ascii="宋体" w:hAnsi="宋体"/>
          <w:b/>
          <w:bCs/>
          <w:sz w:val="24"/>
          <w:lang w:val="en-US" w:eastAsia="zh-CN"/>
        </w:rPr>
        <w:t>9</w:t>
      </w:r>
      <w:r>
        <w:rPr>
          <w:rFonts w:hint="eastAsia" w:ascii="宋体" w:hAnsi="宋体"/>
          <w:b/>
          <w:bCs/>
          <w:sz w:val="24"/>
        </w:rPr>
        <w:t>月</w:t>
      </w:r>
      <w:r>
        <w:rPr>
          <w:rFonts w:hint="eastAsia" w:ascii="宋体" w:hAnsi="宋体"/>
          <w:b/>
          <w:bCs/>
          <w:sz w:val="24"/>
          <w:lang w:val="en-US" w:eastAsia="zh-CN"/>
        </w:rPr>
        <w:t>14</w:t>
      </w:r>
      <w:r>
        <w:rPr>
          <w:rFonts w:hint="eastAsia" w:ascii="宋体" w:hAnsi="宋体"/>
          <w:b/>
          <w:bCs/>
          <w:sz w:val="24"/>
        </w:rPr>
        <w:t>日～ 年</w:t>
      </w:r>
      <w:r>
        <w:rPr>
          <w:rFonts w:hint="eastAsia" w:ascii="宋体" w:hAnsi="宋体"/>
          <w:b/>
          <w:bCs/>
          <w:sz w:val="24"/>
          <w:lang w:val="en-US" w:eastAsia="zh-CN"/>
        </w:rPr>
        <w:t>9</w:t>
      </w:r>
      <w:r>
        <w:rPr>
          <w:rFonts w:hint="eastAsia" w:ascii="宋体" w:hAnsi="宋体"/>
          <w:b/>
          <w:bCs/>
          <w:sz w:val="24"/>
        </w:rPr>
        <w:t xml:space="preserve"> 月 </w:t>
      </w:r>
      <w:r>
        <w:rPr>
          <w:rFonts w:hint="eastAsia" w:ascii="宋体" w:hAnsi="宋体"/>
          <w:b/>
          <w:bCs/>
          <w:sz w:val="24"/>
          <w:lang w:val="en-US" w:eastAsia="zh-CN"/>
        </w:rPr>
        <w:t>22</w:t>
      </w:r>
      <w:r>
        <w:rPr>
          <w:rFonts w:hint="eastAsia" w:ascii="宋体" w:hAnsi="宋体"/>
          <w:b/>
          <w:bCs/>
          <w:sz w:val="24"/>
        </w:rPr>
        <w:t>日（北京时间）。</w:t>
      </w:r>
    </w:p>
    <w:p w14:paraId="4AE0EAF7">
      <w:pPr>
        <w:spacing w:line="396" w:lineRule="auto"/>
        <w:jc w:val="left"/>
        <w:rPr>
          <w:rFonts w:ascii="宋体" w:hAnsi="宋体"/>
          <w:b/>
          <w:bCs/>
          <w:sz w:val="24"/>
        </w:rPr>
      </w:pPr>
      <w:r>
        <w:rPr>
          <w:rFonts w:hint="eastAsia" w:ascii="宋体" w:hAnsi="宋体"/>
          <w:b/>
          <w:bCs/>
          <w:sz w:val="24"/>
        </w:rPr>
        <w:t xml:space="preserve">3.开标时间： </w:t>
      </w:r>
      <w:r>
        <w:rPr>
          <w:rFonts w:hint="eastAsia" w:ascii="宋体" w:hAnsi="宋体"/>
          <w:b/>
          <w:bCs/>
          <w:sz w:val="24"/>
          <w:lang w:val="en-US" w:eastAsia="zh-CN"/>
        </w:rPr>
        <w:t>2026</w:t>
      </w:r>
      <w:r>
        <w:rPr>
          <w:rFonts w:hint="eastAsia" w:ascii="宋体" w:hAnsi="宋体"/>
          <w:b/>
          <w:bCs/>
          <w:sz w:val="24"/>
        </w:rPr>
        <w:t xml:space="preserve">年 </w:t>
      </w:r>
      <w:r>
        <w:rPr>
          <w:rFonts w:hint="eastAsia" w:ascii="宋体" w:hAnsi="宋体"/>
          <w:b/>
          <w:bCs/>
          <w:sz w:val="24"/>
          <w:lang w:val="en-US" w:eastAsia="zh-CN"/>
        </w:rPr>
        <w:t>9</w:t>
      </w:r>
      <w:r>
        <w:rPr>
          <w:rFonts w:hint="eastAsia" w:ascii="宋体" w:hAnsi="宋体"/>
          <w:b/>
          <w:bCs/>
          <w:sz w:val="24"/>
        </w:rPr>
        <w:t xml:space="preserve">月 </w:t>
      </w:r>
      <w:r>
        <w:rPr>
          <w:rFonts w:hint="eastAsia" w:ascii="宋体" w:hAnsi="宋体"/>
          <w:b/>
          <w:bCs/>
          <w:sz w:val="24"/>
          <w:lang w:val="en-US" w:eastAsia="zh-CN"/>
        </w:rPr>
        <w:t>23</w:t>
      </w:r>
      <w:r>
        <w:rPr>
          <w:rFonts w:hint="eastAsia" w:ascii="宋体" w:hAnsi="宋体"/>
          <w:b/>
          <w:bCs/>
          <w:sz w:val="24"/>
        </w:rPr>
        <w:t>日，上午</w:t>
      </w:r>
      <w:r>
        <w:rPr>
          <w:rFonts w:hint="eastAsia" w:ascii="宋体" w:hAnsi="宋体"/>
          <w:b/>
          <w:bCs/>
          <w:sz w:val="24"/>
          <w:lang w:val="en-US" w:eastAsia="zh-CN"/>
        </w:rPr>
        <w:t>8</w:t>
      </w:r>
      <w:r>
        <w:rPr>
          <w:rFonts w:hint="eastAsia" w:ascii="宋体" w:hAnsi="宋体"/>
          <w:b/>
          <w:bCs/>
          <w:sz w:val="24"/>
        </w:rPr>
        <w:t xml:space="preserve"> 时 </w:t>
      </w:r>
      <w:r>
        <w:rPr>
          <w:rFonts w:hint="eastAsia" w:ascii="宋体" w:hAnsi="宋体"/>
          <w:b/>
          <w:bCs/>
          <w:sz w:val="24"/>
          <w:lang w:val="en-US" w:eastAsia="zh-CN"/>
        </w:rPr>
        <w:t>30</w:t>
      </w:r>
      <w:r>
        <w:rPr>
          <w:rFonts w:hint="eastAsia" w:ascii="宋体" w:hAnsi="宋体"/>
          <w:b/>
          <w:bCs/>
          <w:sz w:val="24"/>
        </w:rPr>
        <w:t>分。</w:t>
      </w:r>
    </w:p>
    <w:p w14:paraId="1954AB8F">
      <w:pPr>
        <w:spacing w:line="396" w:lineRule="auto"/>
        <w:jc w:val="left"/>
        <w:rPr>
          <w:rFonts w:hint="eastAsia" w:ascii="宋体" w:hAnsi="宋体"/>
          <w:sz w:val="24"/>
        </w:rPr>
      </w:pPr>
      <w:r>
        <w:rPr>
          <w:rFonts w:hint="eastAsia" w:ascii="宋体" w:hAnsi="宋体"/>
          <w:sz w:val="24"/>
        </w:rPr>
        <w:t>六.招标文件</w:t>
      </w:r>
      <w:bookmarkStart w:id="2" w:name="_GoBack"/>
      <w:bookmarkEnd w:id="2"/>
    </w:p>
    <w:p w14:paraId="3531A106">
      <w:pPr>
        <w:spacing w:line="396" w:lineRule="auto"/>
        <w:jc w:val="left"/>
        <w:rPr>
          <w:rFonts w:hint="eastAsia" w:ascii="宋体" w:hAnsi="宋体"/>
          <w:sz w:val="24"/>
        </w:rPr>
      </w:pPr>
      <w:r>
        <w:rPr>
          <w:rFonts w:hint="eastAsia" w:ascii="宋体" w:hAnsi="宋体"/>
          <w:sz w:val="24"/>
        </w:rPr>
        <w:t xml:space="preserve">1.获取：凡有意参加的潜在投标人，在公告期内登录：bidding.jigang.com.cn注册用户成功后，须修改初始密码，重新登录后报名。报名成功后即可下载招标文件； </w:t>
      </w:r>
    </w:p>
    <w:p w14:paraId="695C279D">
      <w:pPr>
        <w:spacing w:line="396" w:lineRule="auto"/>
        <w:jc w:val="left"/>
        <w:rPr>
          <w:rFonts w:ascii="宋体" w:hAnsi="宋体"/>
          <w:sz w:val="24"/>
        </w:rPr>
      </w:pPr>
      <w:r>
        <w:rPr>
          <w:rFonts w:hint="eastAsia" w:ascii="宋体" w:hAnsi="宋体"/>
          <w:sz w:val="24"/>
        </w:rPr>
        <w:t>2.售价：招标文件免费。</w:t>
      </w:r>
    </w:p>
    <w:p w14:paraId="363E15A9">
      <w:pPr>
        <w:spacing w:line="396" w:lineRule="auto"/>
        <w:jc w:val="left"/>
        <w:rPr>
          <w:rFonts w:ascii="宋体" w:hAnsi="宋体"/>
          <w:sz w:val="24"/>
        </w:rPr>
      </w:pPr>
      <w:r>
        <w:rPr>
          <w:rFonts w:hint="eastAsia" w:ascii="宋体" w:hAnsi="宋体"/>
          <w:sz w:val="24"/>
        </w:rPr>
        <w:t>七、踏勘现场</w:t>
      </w:r>
    </w:p>
    <w:p w14:paraId="53E7BB11">
      <w:pPr>
        <w:spacing w:line="396" w:lineRule="auto"/>
        <w:jc w:val="left"/>
        <w:rPr>
          <w:rFonts w:hint="eastAsia" w:ascii="宋体" w:hAnsi="宋体"/>
          <w:sz w:val="24"/>
        </w:rPr>
      </w:pPr>
      <w:r>
        <w:rPr>
          <w:rFonts w:hint="eastAsia" w:ascii="宋体" w:hAnsi="宋体"/>
          <w:sz w:val="24"/>
        </w:rPr>
        <w:t>不统一组织踏勘现场。</w:t>
      </w:r>
    </w:p>
    <w:p w14:paraId="0CA5B023">
      <w:pPr>
        <w:spacing w:line="396" w:lineRule="auto"/>
        <w:jc w:val="left"/>
        <w:rPr>
          <w:rFonts w:hint="eastAsia" w:ascii="宋体" w:hAnsi="宋体"/>
          <w:color w:val="000000"/>
          <w:sz w:val="24"/>
        </w:rPr>
      </w:pPr>
      <w:r>
        <w:rPr>
          <w:rFonts w:hint="eastAsia" w:ascii="宋体" w:hAnsi="宋体"/>
          <w:color w:val="000000"/>
          <w:sz w:val="24"/>
        </w:rPr>
        <w:t>八、投标保证金：10000元（大写：人民币壹万元整）</w:t>
      </w:r>
    </w:p>
    <w:p w14:paraId="626D3B60">
      <w:pPr>
        <w:spacing w:line="396" w:lineRule="auto"/>
        <w:jc w:val="left"/>
        <w:rPr>
          <w:rFonts w:hint="eastAsia" w:ascii="宋体" w:hAnsi="宋体"/>
          <w:b/>
          <w:bCs/>
          <w:sz w:val="24"/>
        </w:rPr>
      </w:pPr>
      <w:r>
        <w:rPr>
          <w:rFonts w:hint="eastAsia" w:ascii="宋体" w:hAnsi="宋体"/>
          <w:b/>
          <w:bCs/>
          <w:sz w:val="24"/>
        </w:rPr>
        <w:t xml:space="preserve">1.投标保证金最后缴纳日期： </w:t>
      </w:r>
      <w:r>
        <w:rPr>
          <w:rFonts w:hint="eastAsia" w:ascii="宋体" w:hAnsi="宋体"/>
          <w:b/>
          <w:bCs/>
          <w:sz w:val="24"/>
          <w:lang w:val="en-US" w:eastAsia="zh-CN"/>
        </w:rPr>
        <w:t>2026</w:t>
      </w:r>
      <w:r>
        <w:rPr>
          <w:rFonts w:hint="eastAsia" w:ascii="宋体" w:hAnsi="宋体"/>
          <w:b/>
          <w:bCs/>
          <w:sz w:val="24"/>
        </w:rPr>
        <w:t xml:space="preserve"> 年 </w:t>
      </w:r>
      <w:r>
        <w:rPr>
          <w:rFonts w:hint="eastAsia" w:ascii="宋体" w:hAnsi="宋体"/>
          <w:b/>
          <w:bCs/>
          <w:sz w:val="24"/>
          <w:lang w:val="en-US" w:eastAsia="zh-CN"/>
        </w:rPr>
        <w:t>9</w:t>
      </w:r>
      <w:r>
        <w:rPr>
          <w:rFonts w:hint="eastAsia" w:ascii="宋体" w:hAnsi="宋体"/>
          <w:b/>
          <w:bCs/>
          <w:sz w:val="24"/>
        </w:rPr>
        <w:t>月</w:t>
      </w:r>
      <w:r>
        <w:rPr>
          <w:rFonts w:hint="eastAsia" w:ascii="宋体" w:hAnsi="宋体"/>
          <w:b/>
          <w:bCs/>
          <w:sz w:val="24"/>
          <w:lang w:val="en-US" w:eastAsia="zh-CN"/>
        </w:rPr>
        <w:t>22</w:t>
      </w:r>
      <w:r>
        <w:rPr>
          <w:rFonts w:hint="eastAsia" w:ascii="宋体" w:hAnsi="宋体"/>
          <w:b/>
          <w:bCs/>
          <w:sz w:val="24"/>
        </w:rPr>
        <w:t>日下午</w:t>
      </w:r>
      <w:r>
        <w:rPr>
          <w:rFonts w:hint="eastAsia" w:ascii="宋体" w:hAnsi="宋体"/>
          <w:b/>
          <w:bCs/>
          <w:sz w:val="24"/>
          <w:lang w:val="en-US" w:eastAsia="zh-CN"/>
        </w:rPr>
        <w:t>17</w:t>
      </w:r>
      <w:r>
        <w:rPr>
          <w:rFonts w:hint="eastAsia" w:ascii="宋体" w:hAnsi="宋体"/>
          <w:b/>
          <w:bCs/>
          <w:sz w:val="24"/>
        </w:rPr>
        <w:t xml:space="preserve"> 时，逾期缴纳的，投标将被拒绝。</w:t>
      </w:r>
    </w:p>
    <w:p w14:paraId="0CDA45CC">
      <w:pPr>
        <w:spacing w:line="396" w:lineRule="auto"/>
        <w:jc w:val="left"/>
        <w:rPr>
          <w:rFonts w:hint="eastAsia" w:ascii="宋体" w:hAnsi="宋体"/>
          <w:sz w:val="24"/>
        </w:rPr>
      </w:pPr>
      <w:r>
        <w:rPr>
          <w:rFonts w:hint="eastAsia" w:ascii="宋体" w:hAnsi="宋体"/>
          <w:sz w:val="24"/>
        </w:rPr>
        <w:t>2.投标保证金应从投标人银行基本账户内转出或汇出，为方便退还不出具收据。交款注明招标编号及款项性质（投标保证金），并将回单及时上传至系统内同时以微信方式转发到15098838165微信上。</w:t>
      </w:r>
    </w:p>
    <w:p w14:paraId="512032AD">
      <w:pPr>
        <w:spacing w:line="396" w:lineRule="auto"/>
        <w:jc w:val="left"/>
        <w:rPr>
          <w:rFonts w:hint="eastAsia" w:ascii="宋体" w:hAnsi="宋体"/>
          <w:sz w:val="24"/>
        </w:rPr>
      </w:pPr>
      <w:r>
        <w:rPr>
          <w:rFonts w:hint="eastAsia" w:ascii="宋体" w:hAnsi="宋体"/>
          <w:sz w:val="24"/>
        </w:rPr>
        <w:t>3.缴纳投标保证金账户信息：</w:t>
      </w:r>
    </w:p>
    <w:p w14:paraId="37941000">
      <w:pPr>
        <w:spacing w:line="396" w:lineRule="auto"/>
        <w:jc w:val="left"/>
        <w:rPr>
          <w:rFonts w:hint="eastAsia" w:ascii="宋体" w:hAnsi="宋体"/>
          <w:sz w:val="24"/>
        </w:rPr>
      </w:pPr>
      <w:r>
        <w:rPr>
          <w:rFonts w:hint="eastAsia" w:ascii="宋体" w:hAnsi="宋体"/>
          <w:sz w:val="24"/>
        </w:rPr>
        <w:t xml:space="preserve">   名  称：济南鲍德冶金石灰石有限公司</w:t>
      </w:r>
    </w:p>
    <w:p w14:paraId="3A66ADDB">
      <w:pPr>
        <w:spacing w:line="396" w:lineRule="auto"/>
        <w:jc w:val="left"/>
        <w:rPr>
          <w:rFonts w:hint="eastAsia" w:ascii="宋体" w:hAnsi="宋体"/>
          <w:sz w:val="24"/>
        </w:rPr>
      </w:pPr>
      <w:r>
        <w:rPr>
          <w:rFonts w:hint="eastAsia" w:ascii="宋体" w:hAnsi="宋体"/>
          <w:sz w:val="24"/>
        </w:rPr>
        <w:t xml:space="preserve">   开户行：中国农业银行股份有限公司济南埠村支行</w:t>
      </w:r>
    </w:p>
    <w:p w14:paraId="2FECDD9E">
      <w:pPr>
        <w:spacing w:line="396" w:lineRule="auto"/>
        <w:jc w:val="left"/>
        <w:rPr>
          <w:rFonts w:hint="eastAsia" w:ascii="宋体" w:hAnsi="宋体"/>
          <w:sz w:val="24"/>
        </w:rPr>
      </w:pPr>
      <w:r>
        <w:rPr>
          <w:rFonts w:hint="eastAsia" w:ascii="宋体" w:hAnsi="宋体"/>
          <w:sz w:val="24"/>
        </w:rPr>
        <w:t xml:space="preserve">   账  号：15137301040002766</w:t>
      </w:r>
    </w:p>
    <w:p w14:paraId="6121F1C4">
      <w:pPr>
        <w:spacing w:line="396" w:lineRule="auto"/>
        <w:jc w:val="left"/>
        <w:rPr>
          <w:rFonts w:hint="eastAsia" w:ascii="宋体" w:hAnsi="宋体"/>
          <w:sz w:val="24"/>
        </w:rPr>
      </w:pPr>
      <w:r>
        <w:rPr>
          <w:rFonts w:hint="eastAsia" w:ascii="宋体" w:hAnsi="宋体"/>
          <w:sz w:val="24"/>
        </w:rPr>
        <w:t>开户行行号：103451013739</w:t>
      </w:r>
    </w:p>
    <w:p w14:paraId="5336BF5C">
      <w:pPr>
        <w:spacing w:line="396" w:lineRule="auto"/>
        <w:jc w:val="left"/>
        <w:rPr>
          <w:rFonts w:hint="eastAsia" w:ascii="宋体" w:hAnsi="宋体"/>
          <w:sz w:val="24"/>
        </w:rPr>
      </w:pPr>
      <w:r>
        <w:rPr>
          <w:rFonts w:hint="eastAsia" w:ascii="宋体" w:hAnsi="宋体"/>
          <w:sz w:val="24"/>
        </w:rPr>
        <w:t>4.投标保证金在合同签订后30日内原账户无息退还。</w:t>
      </w:r>
    </w:p>
    <w:p w14:paraId="17EA6DDE">
      <w:pPr>
        <w:spacing w:line="396" w:lineRule="auto"/>
        <w:jc w:val="left"/>
        <w:rPr>
          <w:rFonts w:ascii="宋体" w:hAnsi="宋体"/>
          <w:sz w:val="24"/>
        </w:rPr>
      </w:pPr>
      <w:r>
        <w:rPr>
          <w:rFonts w:hint="eastAsia" w:ascii="宋体" w:hAnsi="宋体"/>
          <w:sz w:val="24"/>
        </w:rPr>
        <w:t>5、在递交投标文件时，携带投标保证金交款回单，以备查验。</w:t>
      </w:r>
    </w:p>
    <w:p w14:paraId="36B4FEF0">
      <w:pPr>
        <w:spacing w:line="396" w:lineRule="auto"/>
        <w:jc w:val="left"/>
        <w:rPr>
          <w:rFonts w:ascii="宋体" w:hAnsi="宋体"/>
          <w:sz w:val="24"/>
        </w:rPr>
      </w:pPr>
      <w:r>
        <w:rPr>
          <w:rFonts w:hint="eastAsia" w:ascii="宋体" w:hAnsi="宋体"/>
          <w:sz w:val="24"/>
        </w:rPr>
        <w:t>八</w:t>
      </w:r>
      <w:r>
        <w:rPr>
          <w:rFonts w:ascii="宋体" w:hAnsi="宋体"/>
          <w:sz w:val="24"/>
        </w:rPr>
        <w:t>、</w:t>
      </w:r>
      <w:r>
        <w:rPr>
          <w:rFonts w:hint="eastAsia" w:ascii="宋体" w:hAnsi="宋体"/>
          <w:sz w:val="24"/>
        </w:rPr>
        <w:t>投标文件的递交</w:t>
      </w:r>
    </w:p>
    <w:p w14:paraId="777CDB69">
      <w:pPr>
        <w:spacing w:line="396" w:lineRule="auto"/>
        <w:jc w:val="left"/>
        <w:rPr>
          <w:rFonts w:ascii="宋体" w:hAnsi="宋体"/>
          <w:sz w:val="24"/>
        </w:rPr>
      </w:pPr>
      <w:r>
        <w:rPr>
          <w:rFonts w:ascii="宋体" w:hAnsi="宋体"/>
          <w:sz w:val="24"/>
        </w:rPr>
        <w:t>1</w:t>
      </w:r>
      <w:r>
        <w:rPr>
          <w:rFonts w:hint="eastAsia" w:ascii="宋体" w:hAnsi="宋体"/>
          <w:sz w:val="24"/>
        </w:rPr>
        <w:t>.投标文件递交的截止时间（投标截止时间，下同）为</w:t>
      </w:r>
      <w:r>
        <w:rPr>
          <w:rFonts w:hint="eastAsia" w:ascii="宋体" w:hAnsi="宋体"/>
          <w:sz w:val="24"/>
          <w:lang w:val="en-US" w:eastAsia="zh-CN"/>
        </w:rPr>
        <w:t>2026</w:t>
      </w:r>
      <w:r>
        <w:rPr>
          <w:rFonts w:hint="eastAsia" w:ascii="宋体" w:hAnsi="宋体"/>
          <w:sz w:val="24"/>
        </w:rPr>
        <w:t xml:space="preserve"> 年</w:t>
      </w:r>
      <w:r>
        <w:rPr>
          <w:rFonts w:hint="eastAsia" w:ascii="宋体" w:hAnsi="宋体"/>
          <w:sz w:val="24"/>
          <w:lang w:val="en-US" w:eastAsia="zh-CN"/>
        </w:rPr>
        <w:t>9</w:t>
      </w:r>
      <w:r>
        <w:rPr>
          <w:rFonts w:hint="eastAsia" w:ascii="宋体" w:hAnsi="宋体"/>
          <w:sz w:val="24"/>
        </w:rPr>
        <w:t xml:space="preserve"> 月</w:t>
      </w:r>
      <w:r>
        <w:rPr>
          <w:rFonts w:hint="eastAsia" w:ascii="宋体" w:hAnsi="宋体"/>
          <w:sz w:val="24"/>
          <w:lang w:val="en-US" w:eastAsia="zh-CN"/>
        </w:rPr>
        <w:t>22</w:t>
      </w:r>
      <w:r>
        <w:rPr>
          <w:rFonts w:hint="eastAsia" w:ascii="宋体" w:hAnsi="宋体"/>
          <w:sz w:val="24"/>
        </w:rPr>
        <w:t xml:space="preserve"> 日上午</w:t>
      </w:r>
      <w:r>
        <w:rPr>
          <w:rFonts w:hint="eastAsia" w:ascii="宋体" w:hAnsi="宋体"/>
          <w:sz w:val="24"/>
          <w:lang w:val="en-US" w:eastAsia="zh-CN"/>
        </w:rPr>
        <w:t>8</w:t>
      </w:r>
      <w:r>
        <w:rPr>
          <w:rFonts w:hint="eastAsia" w:ascii="宋体" w:hAnsi="宋体"/>
          <w:sz w:val="24"/>
        </w:rPr>
        <w:t xml:space="preserve"> 时</w:t>
      </w:r>
      <w:r>
        <w:rPr>
          <w:rFonts w:hint="eastAsia" w:ascii="宋体" w:hAnsi="宋体"/>
          <w:sz w:val="24"/>
          <w:lang w:val="en-US" w:eastAsia="zh-CN"/>
        </w:rPr>
        <w:t>30</w:t>
      </w:r>
      <w:r>
        <w:rPr>
          <w:rFonts w:hint="eastAsia" w:ascii="宋体" w:hAnsi="宋体"/>
          <w:sz w:val="24"/>
        </w:rPr>
        <w:t xml:space="preserve"> 分前，地点为济南鲍德冶金石灰石有限公司一楼东会议室。</w:t>
      </w:r>
    </w:p>
    <w:p w14:paraId="07DC3FBC">
      <w:pPr>
        <w:spacing w:line="396" w:lineRule="auto"/>
        <w:jc w:val="left"/>
        <w:rPr>
          <w:rFonts w:ascii="宋体" w:hAnsi="宋体"/>
          <w:sz w:val="24"/>
        </w:rPr>
      </w:pPr>
      <w:r>
        <w:rPr>
          <w:rFonts w:ascii="宋体" w:hAnsi="宋体"/>
          <w:sz w:val="24"/>
        </w:rPr>
        <w:t>2</w:t>
      </w:r>
      <w:r>
        <w:rPr>
          <w:rFonts w:hint="eastAsia" w:ascii="宋体" w:hAnsi="宋体"/>
          <w:sz w:val="24"/>
        </w:rPr>
        <w:t>.逾期送达的、未送达指定地点的或者不按照招标文件要求密封的投标文件，招标人将予以拒收。</w:t>
      </w:r>
    </w:p>
    <w:p w14:paraId="46D90BCD">
      <w:pPr>
        <w:spacing w:line="396" w:lineRule="auto"/>
        <w:jc w:val="left"/>
        <w:rPr>
          <w:rFonts w:ascii="宋体" w:hAnsi="宋体"/>
          <w:sz w:val="24"/>
        </w:rPr>
      </w:pPr>
      <w:r>
        <w:rPr>
          <w:rFonts w:hint="eastAsia" w:ascii="宋体" w:hAnsi="宋体"/>
          <w:sz w:val="24"/>
        </w:rPr>
        <w:t>九、</w:t>
      </w:r>
      <w:r>
        <w:rPr>
          <w:rFonts w:ascii="宋体" w:hAnsi="宋体"/>
          <w:sz w:val="24"/>
        </w:rPr>
        <w:t>资格审查方式</w:t>
      </w:r>
    </w:p>
    <w:p w14:paraId="10B9B2F7">
      <w:pPr>
        <w:spacing w:line="396" w:lineRule="auto"/>
        <w:ind w:firstLine="240" w:firstLineChars="100"/>
        <w:jc w:val="left"/>
        <w:rPr>
          <w:rFonts w:ascii="宋体" w:hAnsi="宋体"/>
          <w:sz w:val="24"/>
        </w:rPr>
      </w:pPr>
      <w:r>
        <w:rPr>
          <w:rFonts w:ascii="宋体" w:hAnsi="宋体"/>
          <w:sz w:val="24"/>
        </w:rPr>
        <w:t>资格后审;开标后，评标委员会对投标单位的资质文件进行评审。评审合格的进入下一阶段评审；评审不合格的按废标处理，标书费不退。</w:t>
      </w:r>
    </w:p>
    <w:p w14:paraId="0C2C0EDC">
      <w:pPr>
        <w:spacing w:line="396" w:lineRule="auto"/>
        <w:jc w:val="left"/>
        <w:rPr>
          <w:rFonts w:ascii="宋体" w:hAnsi="宋体"/>
          <w:sz w:val="24"/>
        </w:rPr>
      </w:pPr>
      <w:r>
        <w:rPr>
          <w:rFonts w:hint="eastAsia" w:ascii="宋体" w:hAnsi="宋体"/>
          <w:sz w:val="24"/>
        </w:rPr>
        <w:t>十、联系方式</w:t>
      </w:r>
    </w:p>
    <w:p w14:paraId="0333A21A">
      <w:pPr>
        <w:spacing w:line="396" w:lineRule="auto"/>
        <w:jc w:val="left"/>
        <w:rPr>
          <w:rFonts w:hint="eastAsia" w:ascii="宋体" w:hAnsi="宋体"/>
          <w:sz w:val="24"/>
        </w:rPr>
      </w:pPr>
      <w:r>
        <w:rPr>
          <w:rFonts w:hint="eastAsia" w:ascii="宋体" w:hAnsi="宋体"/>
          <w:sz w:val="24"/>
        </w:rPr>
        <w:t>1、招标联系人：郑女士，联系电话：0531-83719629  15098838165。</w:t>
      </w:r>
    </w:p>
    <w:p w14:paraId="2ACE7C49">
      <w:pPr>
        <w:spacing w:line="396" w:lineRule="auto"/>
        <w:jc w:val="left"/>
        <w:rPr>
          <w:rFonts w:ascii="宋体" w:hAnsi="宋体"/>
          <w:sz w:val="24"/>
        </w:rPr>
      </w:pPr>
      <w:r>
        <w:rPr>
          <w:rFonts w:hint="eastAsia" w:ascii="宋体" w:hAnsi="宋体"/>
          <w:sz w:val="24"/>
        </w:rPr>
        <w:t>2. 技术咨询人：段先生，联系电话：18563418658。</w:t>
      </w:r>
    </w:p>
    <w:p w14:paraId="497CFDAF">
      <w:pPr>
        <w:spacing w:line="396" w:lineRule="auto"/>
        <w:jc w:val="left"/>
        <w:rPr>
          <w:rFonts w:ascii="宋体" w:hAnsi="宋体"/>
          <w:color w:val="000000"/>
          <w:sz w:val="24"/>
        </w:rPr>
      </w:pPr>
      <w:r>
        <w:rPr>
          <w:rFonts w:hint="eastAsia" w:ascii="宋体" w:hAnsi="宋体"/>
          <w:color w:val="000000"/>
          <w:sz w:val="24"/>
        </w:rPr>
        <w:t>十一、公告中的招标内容和招标其他要求以最终的招标文件为准。</w:t>
      </w:r>
    </w:p>
    <w:p w14:paraId="26B64982">
      <w:pPr>
        <w:pStyle w:val="5"/>
        <w:ind w:firstLine="400"/>
        <w:rPr>
          <w:rFonts w:hint="eastAsia"/>
        </w:rPr>
      </w:pPr>
    </w:p>
    <w:p w14:paraId="35EE8ABC">
      <w:pPr>
        <w:spacing w:line="396" w:lineRule="auto"/>
        <w:jc w:val="left"/>
        <w:rPr>
          <w:rFonts w:hint="eastAsia" w:ascii="宋体" w:hAnsi="宋体"/>
          <w:color w:val="000000"/>
          <w:sz w:val="24"/>
        </w:rPr>
      </w:pPr>
      <w:r>
        <w:rPr>
          <w:rFonts w:hint="eastAsia" w:ascii="宋体" w:hAnsi="宋体"/>
          <w:color w:val="000000"/>
          <w:sz w:val="24"/>
        </w:rPr>
        <w:t xml:space="preserve">                                    　济南鲍德冶金石灰石有限公司</w:t>
      </w:r>
    </w:p>
    <w:p w14:paraId="20F10CEC">
      <w:pPr>
        <w:tabs>
          <w:tab w:val="left" w:pos="5413"/>
        </w:tabs>
        <w:rPr>
          <w:rFonts w:hint="default" w:eastAsia="宋体"/>
          <w:lang w:val="en-US" w:eastAsia="zh-CN"/>
        </w:rPr>
      </w:pPr>
      <w:r>
        <w:rPr>
          <w:rFonts w:hint="eastAsia"/>
          <w:lang w:eastAsia="zh-CN"/>
        </w:rPr>
        <w:tab/>
      </w:r>
      <w:r>
        <w:rPr>
          <w:rFonts w:hint="eastAsia"/>
          <w:lang w:val="en-US" w:eastAsia="zh-CN"/>
        </w:rPr>
        <w:t>2026年9月14日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D76BD">
    <w:pPr>
      <w:pStyle w:val="4"/>
      <w:jc w:val="center"/>
    </w:pPr>
    <w:r>
      <w:fldChar w:fldCharType="begin"/>
    </w:r>
    <w:r>
      <w:rPr>
        <w:rStyle w:val="8"/>
      </w:rPr>
      <w:instrText xml:space="preserve"> PAGE </w:instrText>
    </w:r>
    <w:r>
      <w:fldChar w:fldCharType="separate"/>
    </w:r>
    <w:r>
      <w:rPr>
        <w:rStyle w:val="8"/>
      </w:rPr>
      <w:t>26</w:t>
    </w:r>
    <w:r>
      <w:fldChar w:fldCharType="end"/>
    </w:r>
  </w:p>
  <w:p w14:paraId="06045B4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90731A"/>
    <w:rsid w:val="4990731A"/>
    <w:rsid w:val="63066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0"/>
    <w:pPr>
      <w:ind w:left="420" w:leftChars="200"/>
    </w:pPr>
    <w:rPr>
      <w:rFonts w:hint="eastAsia"/>
    </w:rPr>
  </w:style>
  <w:style w:type="paragraph" w:styleId="3">
    <w:name w:val="Body Text Indent"/>
    <w:basedOn w:val="1"/>
    <w:unhideWhenUsed/>
    <w:uiPriority w:val="0"/>
    <w:pPr>
      <w:spacing w:after="120"/>
      <w:ind w:left="420" w:leftChars="200"/>
    </w:pPr>
    <w:rPr>
      <w:rFonts w:ascii="Times New Roman" w:hAnsi="Times New Roman"/>
      <w:kern w:val="0"/>
      <w:sz w:val="20"/>
      <w:szCs w:val="24"/>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Body Text First Indent 2"/>
    <w:basedOn w:val="3"/>
    <w:qFormat/>
    <w:uiPriority w:val="99"/>
    <w:pPr>
      <w:ind w:firstLine="420" w:firstLineChars="200"/>
    </w:pPr>
  </w:style>
  <w:style w:type="character" w:styleId="8">
    <w:name w:val="page number"/>
    <w:qFormat/>
    <w:uiPriority w:val="0"/>
    <w:rPr>
      <w:rFonts w:ascii="Calibri" w:hAnsi="Calibri" w:eastAsia="宋体" w:cs="Times New Roman"/>
    </w:rPr>
  </w:style>
  <w:style w:type="paragraph" w:customStyle="1" w:styleId="9">
    <w:name w:val="一级"/>
    <w:basedOn w:val="10"/>
    <w:qFormat/>
    <w:uiPriority w:val="0"/>
    <w:rPr>
      <w:sz w:val="32"/>
      <w:szCs w:val="32"/>
    </w:rPr>
  </w:style>
  <w:style w:type="paragraph" w:customStyle="1" w:styleId="10">
    <w:name w:val="样式2"/>
    <w:basedOn w:val="1"/>
    <w:qFormat/>
    <w:uiPriority w:val="0"/>
    <w:pPr>
      <w:jc w:val="center"/>
      <w:outlineLvl w:val="0"/>
    </w:pPr>
    <w:rPr>
      <w:rFonts w:ascii="宋体" w:hAnsi="宋体"/>
      <w:b/>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767</Words>
  <Characters>796</Characters>
  <Lines>0</Lines>
  <Paragraphs>0</Paragraphs>
  <TotalTime>0</TotalTime>
  <ScaleCrop>false</ScaleCrop>
  <LinksUpToDate>false</LinksUpToDate>
  <CharactersWithSpaces>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2026-09-14T13:53:00Z</dcterms:created>
  <dc:creator>郑明玉</dc:creator>
  <cp:lastModifiedBy>郑明玉</cp:lastModifiedBy>
  <dcterms:modified xsi:type="dcterms:W3CDTF">2026-09-14T14:04:11Z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C99A8B2AA16D4A7AB8195F69A253881D_11</vt:lpwstr>
  </property>
  <property fmtid="{D5CDD505-2E9C-101B-9397-08002B2CF9AE}" pid="4" name="KSOTemplateDocerSaveRecord">
    <vt:lpwstr>eyJoZGlkIjoiMDA5NTJhOTEzZTU5ZmEyZTgzZmJiMjE4MzkwOWQwYmYiLCJ1c2VySWQiOiIzMTQyMTcxMzYifQ==</vt:lpwstr>
  </property>
</Properties>
</file>